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EADD111" w:rsidR="00FE7B5B" w:rsidRPr="00A20C69" w:rsidRDefault="00A20C69" w:rsidP="00FE7B5B">
      <w:pPr>
        <w:pStyle w:val="Title"/>
        <w:rPr>
          <w:sz w:val="56"/>
        </w:rPr>
      </w:pPr>
      <w:r w:rsidRPr="00A20C69">
        <w:rPr>
          <w:b w:val="0"/>
          <w:bCs/>
          <w:sz w:val="44"/>
          <w:szCs w:val="44"/>
        </w:rPr>
        <w:t>Critical Care Ventilators</w:t>
      </w:r>
      <w:r w:rsidR="00FE7B5B" w:rsidRPr="00A20C69">
        <w:rPr>
          <w:sz w:val="56"/>
        </w:rPr>
        <w:t xml:space="preserve"> </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7028A10"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Pr="00FE7B5B">
        <w:rPr>
          <w:rFonts w:ascii="Times New Roman" w:hAnsi="Times New Roman" w:cs="Times New Roman"/>
          <w:i/>
          <w:color w:val="000000" w:themeColor="text1"/>
          <w:sz w:val="28"/>
          <w:szCs w:val="28"/>
        </w:rPr>
        <w:t>[insert reference number</w:t>
      </w:r>
      <w:bookmarkStart w:id="0" w:name="_GoBack"/>
      <w:bookmarkEnd w:id="0"/>
      <w:r w:rsidRPr="00FE7B5B">
        <w:rPr>
          <w:rFonts w:ascii="Times New Roman" w:hAnsi="Times New Roman" w:cs="Times New Roman"/>
          <w:i/>
          <w:color w:val="000000" w:themeColor="text1"/>
          <w:sz w:val="28"/>
          <w:szCs w:val="28"/>
        </w:rPr>
        <w:t>]</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3009AF">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3009AF">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3009AF">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1" w:name="_Toc36213758"/>
      <w:r>
        <w:t>Invitation for Direct Contracting of Goods</w:t>
      </w:r>
      <w:bookmarkEnd w:id="1"/>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77777777"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A20C69" w:rsidRPr="00A20C69">
        <w:rPr>
          <w:rFonts w:ascii="Times New Roman Bold" w:eastAsia="Times New Roman" w:hAnsi="Times New Roman Bold" w:cs="Times New Roman"/>
          <w:b/>
          <w:kern w:val="28"/>
          <w:sz w:val="24"/>
          <w:szCs w:val="24"/>
          <w:lang w:val="en-GB"/>
        </w:rPr>
        <w:t>LLC MTECH ID 202443230</w:t>
      </w:r>
    </w:p>
    <w:p w14:paraId="11E863D9" w14:textId="6C9765AB" w:rsidR="0004651B" w:rsidRPr="0004651B" w:rsidRDefault="00A20C69" w:rsidP="00A20C69">
      <w:pPr>
        <w:suppressAutoHyphens/>
        <w:spacing w:after="0" w:line="240" w:lineRule="auto"/>
        <w:rPr>
          <w:rFonts w:ascii="Times New Roman Bold" w:eastAsia="Times New Roman" w:hAnsi="Times New Roman Bold" w:cs="Times New Roman"/>
          <w:b/>
          <w:kern w:val="28"/>
          <w:sz w:val="24"/>
          <w:szCs w:val="24"/>
          <w:lang w:val="en-GB"/>
        </w:rPr>
      </w:pPr>
      <w:proofErr w:type="spellStart"/>
      <w:r w:rsidRPr="00A20C69">
        <w:rPr>
          <w:rFonts w:ascii="Times New Roman Bold" w:eastAsia="Times New Roman" w:hAnsi="Times New Roman Bold" w:cs="Times New Roman"/>
          <w:b/>
          <w:kern w:val="28"/>
          <w:sz w:val="24"/>
          <w:szCs w:val="24"/>
          <w:lang w:val="en-GB"/>
        </w:rPr>
        <w:t>Mirtskhulava</w:t>
      </w:r>
      <w:proofErr w:type="spellEnd"/>
      <w:r w:rsidRPr="00A20C69">
        <w:rPr>
          <w:rFonts w:ascii="Times New Roman Bold" w:eastAsia="Times New Roman" w:hAnsi="Times New Roman Bold" w:cs="Times New Roman"/>
          <w:b/>
          <w:kern w:val="28"/>
          <w:sz w:val="24"/>
          <w:szCs w:val="24"/>
          <w:lang w:val="en-GB"/>
        </w:rPr>
        <w:t xml:space="preserve"> 10,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Dear [</w:t>
      </w:r>
      <w:r w:rsidRPr="0004651B">
        <w:rPr>
          <w:rFonts w:ascii="Times New Roman" w:eastAsia="Times New Roman" w:hAnsi="Times New Roman" w:cs="Times New Roman"/>
          <w:i/>
          <w:color w:val="333333"/>
          <w:sz w:val="24"/>
          <w:szCs w:val="24"/>
        </w:rPr>
        <w:t>insert name of Supplier’s representative</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524CE95"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Procurement of Critical Care Ventilators</w:t>
      </w:r>
      <w:r w:rsidR="0004651B" w:rsidRPr="0004651B">
        <w:rPr>
          <w:rFonts w:ascii="Times New Roman" w:eastAsia="Times New Roman" w:hAnsi="Times New Roman" w:cs="Times New Roman"/>
          <w:spacing w:val="-2"/>
          <w:sz w:val="24"/>
          <w:szCs w:val="24"/>
        </w:rPr>
        <w:t xml:space="preserve">. </w:t>
      </w:r>
    </w:p>
    <w:p w14:paraId="728A666C" w14:textId="017B8585"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sidR="007C4AF4">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2" w:name="_Toc431809059"/>
      <w:bookmarkStart w:id="3" w:name="_Toc438438824"/>
      <w:bookmarkStart w:id="4" w:name="_Toc438532568"/>
      <w:bookmarkStart w:id="5" w:name="_Toc438733968"/>
      <w:bookmarkStart w:id="6" w:name="_Toc438907009"/>
      <w:bookmarkStart w:id="7" w:name="_Toc438907208"/>
      <w:bookmarkStart w:id="8" w:name="_Toc348000786"/>
      <w:bookmarkStart w:id="9" w:name="_Toc436905708"/>
      <w:bookmarkStart w:id="10" w:name="_Toc35329807"/>
      <w:r w:rsidRPr="0004651B">
        <w:rPr>
          <w:rFonts w:ascii="Times New Roman" w:eastAsia="Times New Roman" w:hAnsi="Times New Roman" w:cs="Times New Roman"/>
          <w:b/>
          <w:color w:val="333333"/>
          <w:sz w:val="24"/>
          <w:szCs w:val="24"/>
        </w:rPr>
        <w:t xml:space="preserve">Eligible Goods </w:t>
      </w:r>
      <w:bookmarkEnd w:id="2"/>
      <w:bookmarkEnd w:id="3"/>
      <w:bookmarkEnd w:id="4"/>
      <w:bookmarkEnd w:id="5"/>
      <w:bookmarkEnd w:id="6"/>
      <w:bookmarkEnd w:id="7"/>
      <w:bookmarkEnd w:id="8"/>
      <w:bookmarkEnd w:id="9"/>
      <w:bookmarkEnd w:id="10"/>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75815DC6" w:rsidR="000813C8" w:rsidRPr="000813C8" w:rsidRDefault="000508DE"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w:t>
      </w:r>
      <w:proofErr w:type="gramStart"/>
      <w:r w:rsidRPr="004A2C5F">
        <w:rPr>
          <w:spacing w:val="-4"/>
        </w:rPr>
        <w:t>final destination</w:t>
      </w:r>
      <w:proofErr w:type="gramEnd"/>
      <w:r w:rsidRPr="004A2C5F">
        <w:rPr>
          <w:spacing w:val="-4"/>
        </w:rPr>
        <w:t xml:space="preserve"> (Project Site) </w:t>
      </w:r>
      <w:bookmarkStart w:id="11" w:name="_Hlk35531069"/>
    </w:p>
    <w:bookmarkEnd w:id="11"/>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40801CD1" w:rsidR="00294525" w:rsidRPr="001B2661" w:rsidRDefault="0054745A" w:rsidP="001E419A">
      <w:pPr>
        <w:pStyle w:val="ListParagraph"/>
        <w:numPr>
          <w:ilvl w:val="3"/>
          <w:numId w:val="25"/>
        </w:numPr>
        <w:spacing w:after="160"/>
        <w:contextualSpacing w:val="0"/>
        <w:jc w:val="both"/>
        <w:rPr>
          <w:b/>
          <w:i/>
          <w:highlight w:val="yellow"/>
        </w:rPr>
      </w:pPr>
      <w:bookmarkStart w:id="12"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4525" w:rsidRPr="00251132">
        <w:rPr>
          <w:b/>
          <w:i/>
        </w:rPr>
        <w:t xml:space="preserve"> </w:t>
      </w:r>
      <w:r w:rsidR="00294525" w:rsidRPr="001B2661">
        <w:rPr>
          <w:b/>
          <w:i/>
          <w:spacing w:val="-4"/>
          <w:highlight w:val="yellow"/>
        </w:rPr>
        <w:t>[</w:t>
      </w:r>
      <w:r w:rsidR="00610489" w:rsidRPr="001B2661">
        <w:rPr>
          <w:b/>
          <w:i/>
          <w:spacing w:val="-4"/>
          <w:highlight w:val="yellow"/>
        </w:rPr>
        <w:t>s</w:t>
      </w:r>
      <w:r w:rsidR="00294525" w:rsidRPr="001B2661">
        <w:rPr>
          <w:b/>
          <w:i/>
          <w:spacing w:val="-4"/>
          <w:highlight w:val="yellow"/>
        </w:rPr>
        <w:t>pecify named place of destination]</w:t>
      </w:r>
    </w:p>
    <w:bookmarkEnd w:id="12"/>
    <w:p w14:paraId="1B57CC9E" w14:textId="1D769178" w:rsidR="0054745A" w:rsidRPr="001B2661" w:rsidRDefault="0054745A" w:rsidP="001E419A">
      <w:pPr>
        <w:pStyle w:val="ListParagraph"/>
        <w:numPr>
          <w:ilvl w:val="3"/>
          <w:numId w:val="25"/>
        </w:numPr>
        <w:spacing w:after="160"/>
        <w:contextualSpacing w:val="0"/>
        <w:jc w:val="both"/>
        <w:rPr>
          <w:b/>
          <w:highlight w:val="yellow"/>
        </w:rPr>
      </w:pPr>
      <w:r w:rsidRPr="00251132">
        <w:rPr>
          <w:b/>
        </w:rPr>
        <w:t xml:space="preserve">the price for inland transportation, insurance, and other local services required to convey the Goods from the named place of destination to their </w:t>
      </w:r>
      <w:proofErr w:type="gramStart"/>
      <w:r w:rsidRPr="00251132">
        <w:rPr>
          <w:b/>
        </w:rPr>
        <w:t>final destination</w:t>
      </w:r>
      <w:proofErr w:type="gramEnd"/>
      <w:r w:rsidRPr="00251132">
        <w:rPr>
          <w:b/>
        </w:rPr>
        <w:t xml:space="preserve"> (Project Site)</w:t>
      </w:r>
      <w:r w:rsidR="00610489" w:rsidRPr="00251132">
        <w:rPr>
          <w:b/>
        </w:rPr>
        <w:t xml:space="preserve"> </w:t>
      </w:r>
      <w:r w:rsidR="00294525" w:rsidRPr="001B2661">
        <w:rPr>
          <w:b/>
          <w:i/>
          <w:spacing w:val="-4"/>
          <w:highlight w:val="yellow"/>
        </w:rPr>
        <w:t>[Specify final destination</w:t>
      </w:r>
      <w:r w:rsidR="00610489" w:rsidRPr="001B2661">
        <w:rPr>
          <w:b/>
          <w:i/>
          <w:spacing w:val="-4"/>
          <w:highlight w:val="yellow"/>
        </w:rPr>
        <w:t xml:space="preserve"> if different from named place of destination</w:t>
      </w:r>
      <w:r w:rsidR="00294525" w:rsidRPr="001B2661">
        <w:rPr>
          <w:b/>
          <w:i/>
          <w:spacing w:val="-4"/>
          <w:highlight w:val="yellow"/>
        </w:rPr>
        <w:t>]</w:t>
      </w:r>
      <w:r w:rsidRPr="001B2661">
        <w:rPr>
          <w:b/>
          <w:highlight w:val="yellow"/>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w:t>
      </w:r>
      <w:proofErr w:type="gramStart"/>
      <w:r w:rsidRPr="002D07C3">
        <w:t>final destination</w:t>
      </w:r>
      <w:proofErr w:type="gramEnd"/>
      <w:r w:rsidRPr="002D07C3">
        <w:t xml:space="preserve">,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A36446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[insert: name and email address of Purchaser’s representative]</w:t>
      </w:r>
      <w:r w:rsidRPr="00C44370">
        <w:rPr>
          <w:rFonts w:ascii="Times New Roman" w:eastAsia="Times New Roman" w:hAnsi="Times New Roman" w:cs="Times New Roman"/>
          <w:b/>
          <w:iCs/>
          <w:sz w:val="24"/>
          <w:szCs w:val="24"/>
        </w:rPr>
        <w:t xml:space="preserve"> </w:t>
      </w:r>
      <w:r w:rsidRPr="0004651B">
        <w:rPr>
          <w:rFonts w:ascii="Times New Roman" w:eastAsia="Times New Roman" w:hAnsi="Times New Roman" w:cs="Times New Roman"/>
          <w:iCs/>
          <w:sz w:val="24"/>
          <w:szCs w:val="24"/>
        </w:rPr>
        <w:t xml:space="preserve">before </w:t>
      </w:r>
      <w:r w:rsidRPr="000C02B3">
        <w:rPr>
          <w:rFonts w:ascii="Times New Roman" w:eastAsia="Times New Roman" w:hAnsi="Times New Roman" w:cs="Times New Roman"/>
          <w:b/>
          <w:iCs/>
          <w:sz w:val="24"/>
          <w:szCs w:val="24"/>
          <w:highlight w:val="yellow"/>
        </w:rPr>
        <w:t>[</w:t>
      </w:r>
      <w:r w:rsidRPr="000C02B3">
        <w:rPr>
          <w:rFonts w:ascii="Times New Roman" w:eastAsia="Times New Roman" w:hAnsi="Times New Roman" w:cs="Times New Roman"/>
          <w:b/>
          <w:i/>
          <w:iCs/>
          <w:sz w:val="24"/>
          <w:szCs w:val="24"/>
          <w:highlight w:val="yellow"/>
        </w:rPr>
        <w:t>insert date and time</w:t>
      </w:r>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63CFD40D"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C02B3">
        <w:rPr>
          <w:rFonts w:ascii="Times New Roman" w:eastAsia="Times New Roman" w:hAnsi="Times New Roman" w:cs="Times New Roman"/>
          <w:b/>
          <w:color w:val="333333"/>
          <w:sz w:val="24"/>
          <w:szCs w:val="24"/>
        </w:rPr>
        <w:t>email:</w:t>
      </w:r>
      <w:r w:rsidR="000C02B3" w:rsidRPr="000C02B3">
        <w:rPr>
          <w:rFonts w:ascii="Times New Roman" w:eastAsia="Times New Roman" w:hAnsi="Times New Roman" w:cs="Times New Roman"/>
          <w:b/>
          <w:color w:val="333333"/>
          <w:sz w:val="24"/>
          <w:szCs w:val="24"/>
          <w:highlight w:val="yellow"/>
        </w:rPr>
        <w:t>______</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7777777"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r w:rsidRPr="000C02B3">
        <w:rPr>
          <w:rFonts w:ascii="Times New Roman" w:eastAsia="Times New Roman" w:hAnsi="Times New Roman" w:cs="Times New Roman"/>
          <w:i/>
          <w:sz w:val="24"/>
          <w:szCs w:val="24"/>
          <w:highlight w:val="yellow"/>
        </w:rPr>
        <w:t>[insert full name of person, if applicable]</w:t>
      </w:r>
    </w:p>
    <w:p w14:paraId="3BD28522" w14:textId="20575C9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 xml:space="preserve">E-mail address: </w:t>
      </w:r>
      <w:r w:rsidR="00FD428D" w:rsidRPr="000C02B3">
        <w:rPr>
          <w:rFonts w:ascii="Times New Roman" w:eastAsia="Times New Roman" w:hAnsi="Times New Roman" w:cs="Times New Roman"/>
          <w:b/>
          <w:sz w:val="24"/>
          <w:szCs w:val="24"/>
          <w:highlight w:val="yellow"/>
        </w:rPr>
        <w:t>:  or link to e-procurement system</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proofErr w:type="gramStart"/>
      <w:r w:rsidR="00752AC1" w:rsidRPr="00752AC1">
        <w:rPr>
          <w:rFonts w:ascii="Times New Roman" w:hAnsi="Times New Roman" w:cs="Times New Roman"/>
          <w:b/>
          <w:i/>
          <w:sz w:val="24"/>
          <w:szCs w:val="24"/>
        </w:rPr>
        <w:t>in light of</w:t>
      </w:r>
      <w:proofErr w:type="gramEnd"/>
      <w:r w:rsidR="00752AC1" w:rsidRPr="00752AC1">
        <w:rPr>
          <w:rFonts w:ascii="Times New Roman" w:hAnsi="Times New Roman" w:cs="Times New Roman"/>
          <w:b/>
          <w:i/>
          <w:sz w:val="24"/>
          <w:szCs w:val="24"/>
        </w:rPr>
        <w:t xml:space="preserve">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w:t>
      </w:r>
      <w:r w:rsidRPr="006B3F05">
        <w:rPr>
          <w:rFonts w:ascii="Times New Roman" w:eastAsia="Times New Roman" w:hAnsi="Times New Roman" w:cs="Times New Roman"/>
          <w:sz w:val="24"/>
          <w:szCs w:val="24"/>
        </w:rPr>
        <w:lastRenderedPageBreak/>
        <w:t>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3" w:name="_Toc503364207"/>
      <w:bookmarkStart w:id="14" w:name="_Toc36213759"/>
      <w:r>
        <w:lastRenderedPageBreak/>
        <w:t>A</w:t>
      </w:r>
      <w:r w:rsidR="00B84B28">
        <w:t>NNEX</w:t>
      </w:r>
      <w:r>
        <w:t xml:space="preserve"> 1: </w:t>
      </w:r>
      <w:r w:rsidR="004A1C15" w:rsidRPr="0004651B">
        <w:t>Purchaser’s Requirements</w:t>
      </w:r>
      <w:bookmarkEnd w:id="13"/>
      <w:bookmarkEnd w:id="14"/>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0C02B3" w:rsidRDefault="006F0AC5" w:rsidP="000C02B3">
            <w:pPr>
              <w:spacing w:before="60" w:after="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Named Place of Destination</w:t>
            </w:r>
            <w:r w:rsidR="00973E63" w:rsidRPr="000C02B3">
              <w:rPr>
                <w:rFonts w:ascii="Times New Roman" w:eastAsia="Times New Roman" w:hAnsi="Times New Roman" w:cs="Times New Roman"/>
                <w:b/>
                <w:bCs/>
                <w:sz w:val="20"/>
                <w:szCs w:val="20"/>
                <w:highlight w:val="yellow"/>
              </w:rPr>
              <w:t xml:space="preserve"> (for CIP) </w:t>
            </w:r>
          </w:p>
          <w:p w14:paraId="4C87D037" w14:textId="51157B62" w:rsidR="006F0AC5" w:rsidRPr="000C02B3" w:rsidRDefault="006F0AC5" w:rsidP="0004651B">
            <w:pPr>
              <w:spacing w:before="60" w:after="0" w:line="240" w:lineRule="auto"/>
              <w:jc w:val="center"/>
              <w:rPr>
                <w:rFonts w:ascii="Times New Roman" w:eastAsia="Times New Roman" w:hAnsi="Times New Roman" w:cs="Times New Roman"/>
                <w:b/>
                <w:bCs/>
                <w:sz w:val="20"/>
                <w:szCs w:val="20"/>
                <w:highlight w:val="yellow"/>
              </w:rPr>
            </w:pPr>
          </w:p>
        </w:tc>
        <w:tc>
          <w:tcPr>
            <w:tcW w:w="1710" w:type="dxa"/>
            <w:tcBorders>
              <w:top w:val="single" w:sz="4" w:space="0" w:color="auto"/>
              <w:left w:val="single" w:sz="4" w:space="0" w:color="auto"/>
              <w:right w:val="single" w:sz="4" w:space="0" w:color="auto"/>
            </w:tcBorders>
          </w:tcPr>
          <w:p w14:paraId="114BBA08" w14:textId="7F8AFB78"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Applicable Incoterms (e.g. CIP, EXW</w:t>
            </w:r>
            <w:r w:rsidR="00973E63">
              <w:rPr>
                <w:rFonts w:ascii="Times New Roman" w:eastAsia="Times New Roman" w:hAnsi="Times New Roman" w:cs="Times New Roman"/>
                <w:b/>
                <w:bCs/>
                <w:sz w:val="20"/>
                <w:szCs w:val="20"/>
              </w:rPr>
              <w:t>, FCA</w:t>
            </w:r>
            <w:r w:rsidRPr="0004651B">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44F8EF3A"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Delivery Period from Date of </w:t>
            </w:r>
            <w:r w:rsidR="000C02B3" w:rsidRPr="000C02B3">
              <w:rPr>
                <w:rFonts w:ascii="Times New Roman" w:eastAsia="Times New Roman" w:hAnsi="Times New Roman" w:cs="Times New Roman"/>
                <w:b/>
                <w:bCs/>
                <w:i/>
                <w:sz w:val="20"/>
                <w:szCs w:val="20"/>
                <w:highlight w:val="yellow"/>
              </w:rPr>
              <w:t xml:space="preserve">Contract </w:t>
            </w:r>
            <w:r w:rsidR="000E5BC7" w:rsidRPr="000C02B3">
              <w:rPr>
                <w:rFonts w:ascii="Times New Roman" w:eastAsia="Times New Roman" w:hAnsi="Times New Roman" w:cs="Times New Roman"/>
                <w:b/>
                <w:bCs/>
                <w:i/>
                <w:sz w:val="20"/>
                <w:szCs w:val="20"/>
                <w:highlight w:val="yellow"/>
              </w:rPr>
              <w:t>Signature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A075258"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Critical Care Ventilator</w:t>
            </w:r>
          </w:p>
        </w:tc>
        <w:tc>
          <w:tcPr>
            <w:tcW w:w="990" w:type="dxa"/>
            <w:tcBorders>
              <w:top w:val="single" w:sz="4" w:space="0" w:color="auto"/>
              <w:left w:val="single" w:sz="4" w:space="0" w:color="auto"/>
              <w:bottom w:val="single" w:sz="4" w:space="0" w:color="auto"/>
              <w:right w:val="single" w:sz="4" w:space="0" w:color="auto"/>
            </w:tcBorders>
          </w:tcPr>
          <w:p w14:paraId="22C1127C" w14:textId="156EA75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990" w:type="dxa"/>
            <w:tcBorders>
              <w:top w:val="single" w:sz="4" w:space="0" w:color="auto"/>
              <w:left w:val="single" w:sz="4" w:space="0" w:color="auto"/>
              <w:bottom w:val="single" w:sz="4" w:space="0" w:color="auto"/>
              <w:right w:val="single" w:sz="4" w:space="0" w:color="auto"/>
            </w:tcBorders>
          </w:tcPr>
          <w:p w14:paraId="68CFE3F2" w14:textId="10EC1F0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710" w:type="dxa"/>
            <w:tcBorders>
              <w:top w:val="single" w:sz="4" w:space="0" w:color="auto"/>
              <w:left w:val="single" w:sz="4" w:space="0" w:color="auto"/>
              <w:bottom w:val="single" w:sz="4" w:space="0" w:color="auto"/>
              <w:right w:val="single" w:sz="4" w:space="0" w:color="auto"/>
            </w:tcBorders>
          </w:tcPr>
          <w:p w14:paraId="0A68A05F"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04651B" w:rsidRDefault="000C02B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0C02B3" w:rsidRDefault="000C02B3" w:rsidP="0004651B">
            <w:pPr>
              <w:spacing w:before="60" w:after="60" w:line="240" w:lineRule="auto"/>
              <w:jc w:val="center"/>
              <w:rPr>
                <w:rFonts w:ascii="Times New Roman" w:eastAsia="Times New Roman" w:hAnsi="Times New Roman" w:cs="Times New Roman"/>
                <w:b/>
                <w:bCs/>
                <w:highlight w:val="yellow"/>
              </w:rPr>
            </w:pPr>
            <w:r w:rsidRPr="000C02B3">
              <w:rPr>
                <w:rFonts w:ascii="Times New Roman" w:eastAsia="Times New Roman" w:hAnsi="Times New Roman" w:cs="Times New Roman"/>
                <w:b/>
                <w:bCs/>
                <w:highlight w:val="yellow"/>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ECA4958" w:rsidR="0004651B" w:rsidRPr="0004651B" w:rsidRDefault="000C02B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5D3D7DB3" w:rsidR="0004651B" w:rsidRPr="0004651B" w:rsidRDefault="00D3608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In-person user training</w:t>
            </w:r>
            <w:r>
              <w:t xml:space="preserve"> </w:t>
            </w:r>
            <w:r w:rsidRPr="00D36083">
              <w:rPr>
                <w:rFonts w:ascii="Times New Roman" w:eastAsia="Times New Roman" w:hAnsi="Times New Roman" w:cs="Times New Roman"/>
                <w:i/>
                <w:iCs/>
              </w:rPr>
              <w:t>or on-line training adequate to meet the needs of all operators.</w:t>
            </w:r>
            <w:r>
              <w:rPr>
                <w:rFonts w:ascii="Times New Roman" w:eastAsia="Times New Roman" w:hAnsi="Times New Roman" w:cs="Times New Roman"/>
                <w:i/>
                <w:iCs/>
              </w:rPr>
              <w:t xml:space="preserve"> </w:t>
            </w:r>
          </w:p>
        </w:tc>
        <w:tc>
          <w:tcPr>
            <w:tcW w:w="2430" w:type="dxa"/>
            <w:tcBorders>
              <w:top w:val="single" w:sz="6" w:space="0" w:color="auto"/>
              <w:bottom w:val="single" w:sz="6" w:space="0" w:color="auto"/>
            </w:tcBorders>
          </w:tcPr>
          <w:p w14:paraId="0C9D6705" w14:textId="3B958177" w:rsidR="0004651B" w:rsidRPr="0004651B" w:rsidRDefault="00D36083"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1</w:t>
            </w:r>
          </w:p>
        </w:tc>
        <w:tc>
          <w:tcPr>
            <w:tcW w:w="1710" w:type="dxa"/>
            <w:tcBorders>
              <w:top w:val="single" w:sz="6" w:space="0" w:color="auto"/>
              <w:bottom w:val="single" w:sz="6" w:space="0" w:color="auto"/>
            </w:tcBorders>
          </w:tcPr>
          <w:p w14:paraId="0D85F347" w14:textId="6CECA85F" w:rsidR="0004651B" w:rsidRPr="0004651B" w:rsidRDefault="00D36083" w:rsidP="0004651B">
            <w:pPr>
              <w:spacing w:before="120" w:after="0" w:line="240" w:lineRule="auto"/>
              <w:jc w:val="center"/>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30</w:t>
            </w:r>
          </w:p>
        </w:tc>
        <w:tc>
          <w:tcPr>
            <w:tcW w:w="1890" w:type="dxa"/>
            <w:tcBorders>
              <w:top w:val="single" w:sz="6" w:space="0" w:color="auto"/>
              <w:bottom w:val="single" w:sz="6" w:space="0" w:color="auto"/>
            </w:tcBorders>
          </w:tcPr>
          <w:p w14:paraId="66D290B4" w14:textId="77777777" w:rsidR="0004651B" w:rsidRPr="0004651B" w:rsidRDefault="0004651B"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highlight w:val="yellow"/>
              </w:rPr>
              <w:t>[</w:t>
            </w:r>
            <w:r w:rsidRPr="00D36083">
              <w:rPr>
                <w:rFonts w:ascii="Times New Roman" w:eastAsia="Times New Roman" w:hAnsi="Times New Roman" w:cs="Times New Roman"/>
                <w:b/>
                <w:i/>
                <w:iCs/>
                <w:highlight w:val="yellow"/>
              </w:rPr>
              <w:t>insert name of the Place</w:t>
            </w:r>
            <w:r w:rsidRPr="00D36083">
              <w:rPr>
                <w:rFonts w:ascii="Times New Roman" w:eastAsia="Times New Roman" w:hAnsi="Times New Roman" w:cs="Times New Roman"/>
                <w:bCs/>
                <w:i/>
                <w:iCs/>
                <w:highlight w:val="yellow"/>
              </w:rPr>
              <w:t>]</w:t>
            </w:r>
            <w:r w:rsidRPr="0004651B">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6381B9C" w:rsidR="0004651B" w:rsidRPr="0004651B" w:rsidRDefault="00D3608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receipt of the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5"/>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4D517A30"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Critical Care Ventilator</w:t>
            </w:r>
          </w:p>
        </w:tc>
        <w:tc>
          <w:tcPr>
            <w:tcW w:w="4608" w:type="dxa"/>
          </w:tcPr>
          <w:p w14:paraId="3C644087" w14:textId="77777777" w:rsidR="00841604" w:rsidRPr="00841604" w:rsidRDefault="00841604" w:rsidP="00841604">
            <w:pPr>
              <w:pStyle w:val="ListParagraph"/>
              <w:numPr>
                <w:ilvl w:val="0"/>
                <w:numId w:val="45"/>
              </w:numPr>
              <w:spacing w:before="120" w:after="120"/>
              <w:ind w:left="130" w:hanging="130"/>
              <w:rPr>
                <w:i/>
                <w:iCs/>
              </w:rPr>
            </w:pPr>
            <w:r w:rsidRPr="00841604">
              <w:rPr>
                <w:i/>
                <w:iCs/>
              </w:rPr>
              <w:t>Tidal volume up to 1000 mL</w:t>
            </w:r>
          </w:p>
          <w:p w14:paraId="6D0C3E07"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(inspiratory) up to 80 cm H2O</w:t>
            </w:r>
          </w:p>
          <w:p w14:paraId="09B47B39"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(inspiratory) up to 120 L/min</w:t>
            </w:r>
          </w:p>
          <w:p w14:paraId="6BE7E3BD"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Respiratory rate: up to 60 breaths per minute</w:t>
            </w:r>
          </w:p>
          <w:p w14:paraId="63725B8D" w14:textId="0E0FA179"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Synchronized intermittent mandatory ventilation (SIMV) respiratory rate: up to 40 breaths per</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minute.</w:t>
            </w:r>
          </w:p>
          <w:p w14:paraId="352F1BF8"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 up to 20 cm H2O</w:t>
            </w:r>
          </w:p>
          <w:p w14:paraId="6B50DA9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 up to 45 cm H2O</w:t>
            </w:r>
          </w:p>
          <w:p w14:paraId="17DE1F4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FiO2 between 21% and 100%</w:t>
            </w:r>
          </w:p>
          <w:p w14:paraId="3F63CE60"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Inspiratory and expiratory times up to at least 2 sec and 8 sec respectively</w:t>
            </w:r>
          </w:p>
          <w:p w14:paraId="72F106F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I:E ratio from 1:1 to 1:3</w:t>
            </w:r>
          </w:p>
          <w:p w14:paraId="23A47C7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Modes of ventilation:</w:t>
            </w:r>
          </w:p>
          <w:p w14:paraId="784768C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controlled</w:t>
            </w:r>
          </w:p>
          <w:p w14:paraId="668C413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controlled</w:t>
            </w:r>
          </w:p>
          <w:p w14:paraId="2DAE8C0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w:t>
            </w:r>
          </w:p>
          <w:p w14:paraId="1C3FF451"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SIMV with pressure support</w:t>
            </w:r>
          </w:p>
          <w:p w14:paraId="5C8C8B3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Assist/control mode</w:t>
            </w:r>
          </w:p>
          <w:p w14:paraId="16C66566"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w:t>
            </w:r>
          </w:p>
          <w:p w14:paraId="54516650" w14:textId="3E95210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Alarms are required: FiO2, minute volume, pressure, PEEP, apnea, occlusion, high respiration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rate, disconnection.</w:t>
            </w:r>
          </w:p>
          <w:p w14:paraId="0CC25A78" w14:textId="6EE854CE"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System alarms required: power failure, gas disconnection, low battery, vent inoperative, self</w:t>
            </w:r>
            <w:r>
              <w:rPr>
                <w:rFonts w:ascii="Times New Roman" w:eastAsia="Times New Roman" w:hAnsi="Times New Roman" w:cs="Times New Roman"/>
                <w:i/>
                <w:iCs/>
                <w:sz w:val="24"/>
                <w:szCs w:val="24"/>
              </w:rPr>
              <w:t xml:space="preserve"> - </w:t>
            </w:r>
            <w:r w:rsidRPr="00841604">
              <w:rPr>
                <w:rFonts w:ascii="Times New Roman" w:eastAsia="Times New Roman" w:hAnsi="Times New Roman" w:cs="Times New Roman"/>
                <w:i/>
                <w:iCs/>
                <w:sz w:val="24"/>
                <w:szCs w:val="24"/>
              </w:rPr>
              <w:t>diagnostics.</w:t>
            </w:r>
          </w:p>
          <w:p w14:paraId="293CCC98" w14:textId="4438805D"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lastRenderedPageBreak/>
              <w:t>If an alarm silencing feature is incorporated, it must be temporary and clearly displayed when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activated.</w:t>
            </w:r>
          </w:p>
          <w:p w14:paraId="2BE608D5" w14:textId="77777777" w:rsidR="0004651B"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Air and externally supplied oxygen mixture ratios fully controllable; inlet gas supply (O2) pressure</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range 35 psi to 65 psi; medical air compressor integral to unit, with inlet filter.</w:t>
            </w:r>
          </w:p>
          <w:p w14:paraId="3B973836" w14:textId="5142B876" w:rsidR="00841604" w:rsidRPr="0004651B" w:rsidRDefault="00841604" w:rsidP="00841604">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STANDARD: </w:t>
            </w:r>
            <w:r w:rsidRPr="00841604">
              <w:rPr>
                <w:rFonts w:ascii="Times New Roman" w:eastAsia="Times New Roman" w:hAnsi="Times New Roman" w:cs="Times New Roman"/>
                <w:i/>
                <w:iCs/>
                <w:sz w:val="24"/>
                <w:szCs w:val="24"/>
              </w:rPr>
              <w:t>ISO 80601-2-80 and ISO 80601-2-79 or equivalent</w:t>
            </w:r>
          </w:p>
        </w:tc>
      </w:tr>
      <w:tr w:rsidR="0004651B" w:rsidRPr="0004651B" w14:paraId="70B81DF6" w14:textId="77777777" w:rsidTr="0004651B">
        <w:tc>
          <w:tcPr>
            <w:tcW w:w="1998" w:type="dxa"/>
          </w:tcPr>
          <w:p w14:paraId="455BEA9D" w14:textId="58E22B98"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2.</w:t>
            </w:r>
          </w:p>
        </w:tc>
        <w:tc>
          <w:tcPr>
            <w:tcW w:w="2610" w:type="dxa"/>
          </w:tcPr>
          <w:p w14:paraId="72445F5A" w14:textId="14A511DB"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In-person or On-line user training</w:t>
            </w:r>
          </w:p>
        </w:tc>
        <w:tc>
          <w:tcPr>
            <w:tcW w:w="4608" w:type="dxa"/>
          </w:tcPr>
          <w:p w14:paraId="582777B9" w14:textId="40A233DE" w:rsidR="00841604" w:rsidRPr="00841604" w:rsidRDefault="00841604" w:rsidP="00841604">
            <w:pPr>
              <w:numPr>
                <w:ilvl w:val="0"/>
                <w:numId w:val="46"/>
              </w:numPr>
              <w:spacing w:before="120" w:after="120" w:line="240" w:lineRule="auto"/>
              <w:rPr>
                <w:rFonts w:ascii="Times New Roman" w:eastAsia="Times New Roman" w:hAnsi="Times New Roman" w:cs="Times New Roman"/>
                <w:i/>
                <w:iCs/>
                <w:sz w:val="24"/>
                <w:szCs w:val="24"/>
                <w:lang w:val="en-NZ"/>
              </w:rPr>
            </w:pPr>
            <w:r w:rsidRPr="00841604">
              <w:rPr>
                <w:rFonts w:ascii="Times New Roman" w:eastAsia="Times New Roman" w:hAnsi="Times New Roman" w:cs="Times New Roman"/>
                <w:b/>
                <w:bCs/>
                <w:i/>
                <w:iCs/>
                <w:sz w:val="24"/>
                <w:szCs w:val="24"/>
                <w:lang w:val="en-NZ"/>
              </w:rPr>
              <w:t xml:space="preserve">User Training:  </w:t>
            </w:r>
            <w:r w:rsidRPr="00841604">
              <w:rPr>
                <w:rFonts w:ascii="Times New Roman" w:eastAsia="Times New Roman" w:hAnsi="Times New Roman" w:cs="Times New Roman"/>
                <w:i/>
                <w:iCs/>
                <w:sz w:val="24"/>
                <w:szCs w:val="24"/>
                <w:lang w:val="en-NZ"/>
              </w:rPr>
              <w:t xml:space="preserve">Supplier shall provide in-person or on-line training adequate to meet the needs of all operators. Training shall be available in </w:t>
            </w:r>
            <w:proofErr w:type="gramStart"/>
            <w:r>
              <w:rPr>
                <w:rFonts w:ascii="Times New Roman" w:eastAsia="Times New Roman" w:hAnsi="Times New Roman" w:cs="Times New Roman"/>
                <w:i/>
                <w:iCs/>
                <w:sz w:val="24"/>
                <w:szCs w:val="24"/>
                <w:lang w:val="en-NZ"/>
              </w:rPr>
              <w:t>Georgian</w:t>
            </w:r>
            <w:r w:rsidRPr="00841604">
              <w:rPr>
                <w:rFonts w:ascii="Times New Roman" w:eastAsia="Times New Roman" w:hAnsi="Times New Roman" w:cs="Times New Roman"/>
                <w:i/>
                <w:iCs/>
                <w:sz w:val="24"/>
                <w:szCs w:val="24"/>
                <w:lang w:val="en-NZ"/>
              </w:rPr>
              <w:t>, and</w:t>
            </w:r>
            <w:proofErr w:type="gramEnd"/>
            <w:r w:rsidRPr="00841604">
              <w:rPr>
                <w:rFonts w:ascii="Times New Roman" w:eastAsia="Times New Roman" w:hAnsi="Times New Roman" w:cs="Times New Roman"/>
                <w:i/>
                <w:iCs/>
                <w:sz w:val="24"/>
                <w:szCs w:val="24"/>
                <w:lang w:val="en-NZ"/>
              </w:rPr>
              <w:t xml:space="preserve"> shall be available to users within </w:t>
            </w:r>
            <w:r>
              <w:rPr>
                <w:rFonts w:ascii="Times New Roman" w:eastAsia="Times New Roman" w:hAnsi="Times New Roman" w:cs="Times New Roman"/>
                <w:i/>
                <w:iCs/>
                <w:sz w:val="24"/>
                <w:szCs w:val="24"/>
                <w:lang w:val="en-NZ"/>
              </w:rPr>
              <w:t>10 (ten)</w:t>
            </w:r>
            <w:r w:rsidRPr="00841604">
              <w:rPr>
                <w:rFonts w:ascii="Times New Roman" w:eastAsia="Times New Roman" w:hAnsi="Times New Roman" w:cs="Times New Roman"/>
                <w:i/>
                <w:iCs/>
                <w:sz w:val="24"/>
                <w:szCs w:val="24"/>
                <w:lang w:val="en-NZ"/>
              </w:rPr>
              <w:t xml:space="preserve"> </w:t>
            </w:r>
            <w:r>
              <w:rPr>
                <w:rFonts w:ascii="Times New Roman" w:eastAsia="Times New Roman" w:hAnsi="Times New Roman" w:cs="Times New Roman"/>
                <w:i/>
                <w:iCs/>
                <w:sz w:val="24"/>
                <w:szCs w:val="24"/>
                <w:lang w:val="en-NZ"/>
              </w:rPr>
              <w:t>days</w:t>
            </w:r>
            <w:r w:rsidRPr="00841604">
              <w:rPr>
                <w:rFonts w:ascii="Times New Roman" w:eastAsia="Times New Roman" w:hAnsi="Times New Roman" w:cs="Times New Roman"/>
                <w:i/>
                <w:iCs/>
                <w:sz w:val="24"/>
                <w:szCs w:val="24"/>
                <w:lang w:val="en-NZ"/>
              </w:rPr>
              <w:t xml:space="preserve"> of equipment delivery. </w:t>
            </w:r>
          </w:p>
          <w:p w14:paraId="7D28E50C"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User Manuals:</w:t>
            </w:r>
            <w:r w:rsidRPr="00841604">
              <w:rPr>
                <w:rFonts w:ascii="Times New Roman" w:eastAsia="Times New Roman" w:hAnsi="Times New Roman" w:cs="Times New Roman"/>
                <w:i/>
                <w:iCs/>
                <w:sz w:val="24"/>
                <w:szCs w:val="24"/>
                <w:lang w:val="en-NZ"/>
              </w:rPr>
              <w:t xml:space="preserve">  Supplier shall provide at least one (1) user manual for each device purchased. Manuals shall provide guidance on the operation of all features of the purchased device, be provided in at a printed format, and be available in English, Russian. </w:t>
            </w:r>
          </w:p>
          <w:p w14:paraId="24E7EC55"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Service Manuals:</w:t>
            </w:r>
            <w:r w:rsidRPr="00841604">
              <w:rPr>
                <w:rFonts w:ascii="Times New Roman" w:eastAsia="Times New Roman" w:hAnsi="Times New Roman" w:cs="Times New Roman"/>
                <w:i/>
                <w:iCs/>
                <w:sz w:val="24"/>
                <w:szCs w:val="24"/>
                <w:lang w:val="en-NZ"/>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Russian.</w:t>
            </w:r>
          </w:p>
          <w:p w14:paraId="440AE32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0D95142A" w14:textId="77777777" w:rsidTr="0004651B">
        <w:tc>
          <w:tcPr>
            <w:tcW w:w="1998" w:type="dxa"/>
          </w:tcPr>
          <w:p w14:paraId="6262505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62E53644" w14:textId="77777777" w:rsidTr="0004651B">
        <w:tc>
          <w:tcPr>
            <w:tcW w:w="1998" w:type="dxa"/>
          </w:tcPr>
          <w:p w14:paraId="2B334D73"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14:paraId="124FC83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lastRenderedPageBreak/>
        <w:t>Model must match the voltage and frequency of the purchasing country’s local power grid (e.g., 110-120 VAC at 60 Hz or 220-240 VAC at 50 Hz)</w:t>
      </w:r>
    </w:p>
    <w:p w14:paraId="19C15DC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Tidal volume up to 1000 mL</w:t>
      </w:r>
    </w:p>
    <w:p w14:paraId="2A371C5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14:paraId="1F472447"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Volume (inspiratory) up to 120 L/min</w:t>
      </w:r>
    </w:p>
    <w:p w14:paraId="0747762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Respiratory rate (RR): up to 60 breathes per minutes (BPM)</w:t>
      </w:r>
    </w:p>
    <w:p w14:paraId="5B8BD4F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14:paraId="1E76B13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14:paraId="4A78A959"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14:paraId="1205A18A"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FiO2 between 21% and 100%</w:t>
      </w:r>
    </w:p>
    <w:p w14:paraId="7D12D550"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14:paraId="568E686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I:E ratio from 1:1 to 1:3</w:t>
      </w:r>
    </w:p>
    <w:p w14:paraId="3047371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14:paraId="37185B3F"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Inlet gas supply (O2) pressure range 35 psi to 65 psi</w:t>
      </w:r>
    </w:p>
    <w:p w14:paraId="3C71521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14:paraId="6266D36E"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Modes of Ventilation</w:t>
      </w:r>
    </w:p>
    <w:p w14:paraId="1DCA211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Volume controlled</w:t>
      </w:r>
    </w:p>
    <w:p w14:paraId="6E63578C"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controlled</w:t>
      </w:r>
    </w:p>
    <w:p w14:paraId="742295E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support</w:t>
      </w:r>
    </w:p>
    <w:p w14:paraId="6DDDF5D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SIMV with pressure support</w:t>
      </w:r>
    </w:p>
    <w:p w14:paraId="772C3B9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Assist/control mode</w:t>
      </w:r>
    </w:p>
    <w:p w14:paraId="76F75357"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CPAP/PEEP</w:t>
      </w:r>
    </w:p>
    <w:p w14:paraId="09452D11" w14:textId="77777777" w:rsidR="00841604" w:rsidRDefault="00841604" w:rsidP="00841604">
      <w:pPr>
        <w:spacing w:line="256" w:lineRule="auto"/>
        <w:rPr>
          <w:rFonts w:ascii="Calibri" w:eastAsia="Calibri" w:hAnsi="Calibri"/>
          <w:b/>
        </w:rPr>
      </w:pPr>
    </w:p>
    <w:p w14:paraId="3DDE8D6A"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Required Alarm Conditions</w:t>
      </w:r>
    </w:p>
    <w:p w14:paraId="1DE3E3BE" w14:textId="77777777" w:rsidR="00841604" w:rsidRPr="003C264B" w:rsidRDefault="00841604" w:rsidP="00841604">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14:paraId="4AA4A765" w14:textId="77777777" w:rsidR="00841604" w:rsidRPr="003C264B" w:rsidRDefault="00841604" w:rsidP="00841604">
      <w:pPr>
        <w:numPr>
          <w:ilvl w:val="0"/>
          <w:numId w:val="48"/>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14:paraId="29B6B073" w14:textId="77777777" w:rsidR="00841604" w:rsidRDefault="00841604" w:rsidP="00841604">
      <w:pPr>
        <w:rPr>
          <w:rFonts w:ascii="Calibri" w:eastAsia="Calibri" w:hAnsi="Calibri"/>
        </w:rPr>
      </w:pPr>
      <w:r w:rsidRPr="003C264B">
        <w:rPr>
          <w:rFonts w:ascii="Calibri" w:eastAsia="Calibri" w:hAnsi="Calibri"/>
        </w:rPr>
        <w:t>Power failure, gas disconnection, low battery, vent inoperative, self-diagnostics</w:t>
      </w:r>
    </w:p>
    <w:p w14:paraId="609BEEB0" w14:textId="77777777" w:rsidR="00841604" w:rsidRDefault="00841604" w:rsidP="00841604">
      <w:pPr>
        <w:rPr>
          <w:rFonts w:ascii="Calibri" w:eastAsia="Calibri" w:hAnsi="Calibri"/>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57320962" w14:textId="77777777" w:rsidR="00841604" w:rsidRPr="00C70A7F" w:rsidRDefault="00841604" w:rsidP="00841604">
      <w:pPr>
        <w:pStyle w:val="ListParagraph"/>
        <w:numPr>
          <w:ilvl w:val="0"/>
          <w:numId w:val="4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59EE9A4"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14:paraId="2C7607C7"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6" w:name="_Toc36213760"/>
      <w:bookmarkStart w:id="17" w:name="_Toc503364209"/>
      <w:r w:rsidRPr="0004651B">
        <w:lastRenderedPageBreak/>
        <w:t xml:space="preserve">ANNEX 2: </w:t>
      </w:r>
      <w:r w:rsidR="00B84B28">
        <w:t>Offer Forms</w:t>
      </w:r>
      <w:bookmarkEnd w:id="16"/>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7"/>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3"/>
          <w:headerReference w:type="default" r:id="rId14"/>
          <w:headerReference w:type="first" r:id="rId15"/>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0"/>
            <w:r w:rsidRPr="0004651B">
              <w:rPr>
                <w:rFonts w:ascii="Times New Roman Bold" w:eastAsia="Times New Roman" w:hAnsi="Times New Roman Bold" w:cs="Times New Roman"/>
                <w:kern w:val="28"/>
                <w:sz w:val="40"/>
                <w:szCs w:val="40"/>
                <w:lang w:val="en-GB"/>
              </w:rPr>
              <w:t>Price Schedule 1</w:t>
            </w:r>
            <w:bookmarkEnd w:id="18"/>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0"/>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1"/>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6"/>
          <w:headerReference w:type="default" r:id="rId17"/>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2" w:name="_Toc35257101"/>
      <w:r w:rsidRPr="0004651B">
        <w:rPr>
          <w:rFonts w:ascii="Times New Roman" w:eastAsia="Times New Roman" w:hAnsi="Times New Roman" w:cs="Times New Roman"/>
          <w:b/>
          <w:sz w:val="32"/>
          <w:szCs w:val="24"/>
        </w:rPr>
        <w:lastRenderedPageBreak/>
        <w:t>Manufacturer’s Authorization</w:t>
      </w:r>
      <w:bookmarkEnd w:id="22"/>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3" w:name="_Toc36213761"/>
      <w:bookmarkStart w:id="24" w:name="_Toc438907197"/>
      <w:bookmarkStart w:id="25" w:name="_Toc438907297"/>
      <w:bookmarkStart w:id="26" w:name="_Toc471555884"/>
      <w:bookmarkStart w:id="27" w:name="_Toc73333192"/>
      <w:bookmarkStart w:id="28" w:name="_Toc35257384"/>
      <w:bookmarkStart w:id="29" w:name="_Toc503364215"/>
      <w:r w:rsidRPr="0004651B">
        <w:lastRenderedPageBreak/>
        <w:t xml:space="preserve">ANNEX </w:t>
      </w:r>
      <w:r>
        <w:t>3</w:t>
      </w:r>
      <w:r w:rsidRPr="0004651B">
        <w:t xml:space="preserve">: </w:t>
      </w:r>
      <w:r w:rsidRPr="006557C2">
        <w:t xml:space="preserve">Contract </w:t>
      </w:r>
      <w:r w:rsidR="00B84B28">
        <w:t>Forms</w:t>
      </w:r>
      <w:bookmarkEnd w:id="23"/>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4"/>
      <w:bookmarkEnd w:id="25"/>
      <w:bookmarkEnd w:id="26"/>
      <w:bookmarkEnd w:id="27"/>
      <w:bookmarkEnd w:id="28"/>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9"/>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30"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1"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1"/>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 xml:space="preserve">The Purchaser’s Country </w:t>
            </w:r>
            <w:proofErr w:type="gramStart"/>
            <w:r w:rsidRPr="00237FCA">
              <w:rPr>
                <w:i w:val="0"/>
              </w:rPr>
              <w:t>is:</w:t>
            </w:r>
            <w:proofErr w:type="gramEnd"/>
            <w:r w:rsidRPr="00C233C7">
              <w:t xml:space="preserve"> </w:t>
            </w:r>
            <w:r w:rsidR="00841604">
              <w:rPr>
                <w:iCs/>
              </w:rPr>
              <w:t>Georgia</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w:t>
            </w:r>
            <w:proofErr w:type="gramStart"/>
            <w:r w:rsidRPr="00237FCA">
              <w:rPr>
                <w:i w:val="0"/>
              </w:rPr>
              <w:t>Final Destination</w:t>
            </w:r>
            <w:proofErr w:type="gramEnd"/>
            <w:r w:rsidRPr="00237FCA">
              <w:rPr>
                <w:i w:val="0"/>
              </w:rPr>
              <w:t>(s) is/are:</w:t>
            </w:r>
            <w:r w:rsidRPr="00C233C7">
              <w:t xml:space="preserve"> [</w:t>
            </w:r>
            <w:r w:rsidRPr="00841604">
              <w:rPr>
                <w:highlight w:val="yellow"/>
              </w:rPr>
              <w:t>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841604">
              <w:rPr>
                <w:i w:val="0"/>
                <w:highlight w:val="yellow"/>
              </w:rPr>
              <w:t xml:space="preserve">: </w:t>
            </w:r>
            <w:r w:rsidR="00841604" w:rsidRPr="00841604">
              <w:rPr>
                <w:i w:val="0"/>
                <w:iCs/>
                <w:highlight w:val="yellow"/>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841604" w:rsidRDefault="001B43FB" w:rsidP="001B43FB">
            <w:pPr>
              <w:spacing w:before="80" w:after="80"/>
              <w:ind w:left="704"/>
              <w:rPr>
                <w:i/>
                <w:highlight w:val="yellow"/>
              </w:rPr>
            </w:pPr>
            <w:r w:rsidRPr="00841604">
              <w:rPr>
                <w:i/>
                <w:highlight w:val="yellow"/>
              </w:rPr>
              <w:t xml:space="preserve">[insert the name of officer authorized to receive notices] </w:t>
            </w:r>
          </w:p>
          <w:p w14:paraId="657C24D0" w14:textId="77777777" w:rsidR="001B43FB" w:rsidRPr="00841604" w:rsidRDefault="001B43FB" w:rsidP="001B43FB">
            <w:pPr>
              <w:ind w:left="704"/>
              <w:rPr>
                <w:i/>
                <w:highlight w:val="yellow"/>
              </w:rPr>
            </w:pPr>
            <w:r w:rsidRPr="00841604">
              <w:rPr>
                <w:i/>
                <w:highlight w:val="yellow"/>
              </w:rPr>
              <w:t>[title/position]</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77777777" w:rsidR="001B43FB" w:rsidRPr="00841604" w:rsidRDefault="001B43FB" w:rsidP="001B43FB">
            <w:pPr>
              <w:ind w:left="704"/>
              <w:rPr>
                <w:i/>
                <w:highlight w:val="yellow"/>
              </w:rPr>
            </w:pPr>
            <w:r w:rsidRPr="00841604">
              <w:rPr>
                <w:i/>
                <w:highlight w:val="yellow"/>
              </w:rPr>
              <w:t>[address]</w:t>
            </w:r>
          </w:p>
          <w:p w14:paraId="63451CFA" w14:textId="77777777" w:rsidR="00237FCA" w:rsidRDefault="001B43FB" w:rsidP="00874AA4">
            <w:pPr>
              <w:spacing w:before="160" w:after="80"/>
              <w:ind w:left="704"/>
              <w:rPr>
                <w:i/>
              </w:rPr>
            </w:pPr>
            <w:r w:rsidRPr="00841604">
              <w:rPr>
                <w:i/>
                <w:highlight w:val="yellow"/>
              </w:rPr>
              <w:t>[</w:t>
            </w:r>
            <w:r w:rsidRPr="00841604">
              <w:rPr>
                <w:b/>
                <w:i/>
                <w:highlight w:val="yellow"/>
              </w:rPr>
              <w:t>Electronic mail address</w:t>
            </w:r>
            <w:r w:rsidRPr="00841604">
              <w:rPr>
                <w:i/>
                <w:highlight w:val="yellow"/>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841604" w:rsidRDefault="00E1320C" w:rsidP="00874AA4">
            <w:pPr>
              <w:spacing w:before="80" w:after="80"/>
              <w:ind w:left="704"/>
              <w:rPr>
                <w:i/>
                <w:highlight w:val="yellow"/>
              </w:rPr>
            </w:pPr>
            <w:r w:rsidRPr="00841604">
              <w:rPr>
                <w:i/>
                <w:highlight w:val="yellow"/>
              </w:rPr>
              <w:t xml:space="preserve">[insert the name of officer authorized to receive notices] </w:t>
            </w:r>
          </w:p>
          <w:p w14:paraId="6248BB2D" w14:textId="77777777" w:rsidR="00E1320C" w:rsidRPr="00841604" w:rsidRDefault="00E1320C" w:rsidP="00874AA4">
            <w:pPr>
              <w:ind w:left="704"/>
              <w:rPr>
                <w:i/>
                <w:highlight w:val="yellow"/>
              </w:rPr>
            </w:pPr>
            <w:r w:rsidRPr="00841604">
              <w:rPr>
                <w:i/>
                <w:highlight w:val="yellow"/>
              </w:rPr>
              <w:t>[title/position]</w:t>
            </w:r>
          </w:p>
          <w:p w14:paraId="1B419CEB" w14:textId="77777777" w:rsidR="00E1320C" w:rsidRPr="00841604" w:rsidRDefault="00E1320C" w:rsidP="00874AA4">
            <w:pPr>
              <w:ind w:left="704"/>
              <w:rPr>
                <w:i/>
                <w:highlight w:val="yellow"/>
              </w:rPr>
            </w:pPr>
            <w:r w:rsidRPr="00841604">
              <w:rPr>
                <w:i/>
                <w:highlight w:val="yellow"/>
              </w:rPr>
              <w:t>[department/work unit]</w:t>
            </w:r>
          </w:p>
          <w:p w14:paraId="3F2DA89B" w14:textId="77777777" w:rsidR="00E1320C" w:rsidRPr="00841604" w:rsidRDefault="00E1320C" w:rsidP="00874AA4">
            <w:pPr>
              <w:ind w:left="704"/>
              <w:rPr>
                <w:i/>
                <w:highlight w:val="yellow"/>
              </w:rPr>
            </w:pPr>
            <w:r w:rsidRPr="00841604">
              <w:rPr>
                <w:i/>
                <w:highlight w:val="yellow"/>
              </w:rPr>
              <w:t>[address]</w:t>
            </w:r>
          </w:p>
          <w:p w14:paraId="55AA15DA" w14:textId="77777777" w:rsidR="00E1320C" w:rsidRPr="00C233C7" w:rsidRDefault="00E1320C" w:rsidP="00874AA4">
            <w:pPr>
              <w:spacing w:after="120"/>
              <w:ind w:left="704"/>
              <w:rPr>
                <w:b/>
              </w:rPr>
            </w:pPr>
            <w:r w:rsidRPr="00841604">
              <w:rPr>
                <w:i/>
                <w:highlight w:val="yellow"/>
              </w:rPr>
              <w:t>[</w:t>
            </w:r>
            <w:r w:rsidRPr="00841604">
              <w:rPr>
                <w:b/>
                <w:i/>
                <w:highlight w:val="yellow"/>
              </w:rPr>
              <w:t>Electronic mail address</w:t>
            </w:r>
            <w:r w:rsidRPr="00841604">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w:t>
            </w:r>
            <w:proofErr w:type="gramStart"/>
            <w:r w:rsidRPr="006B3F05">
              <w:t>are:</w:t>
            </w:r>
            <w:proofErr w:type="gramEnd"/>
            <w:r w:rsidRPr="006B3F05">
              <w:t xml:space="preserve"> </w:t>
            </w:r>
            <w:r w:rsidRPr="001A3037">
              <w:rPr>
                <w:highlight w:val="yellow"/>
              </w:rPr>
              <w:t>bill of lading, an airway bill,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w:t>
            </w:r>
            <w:r w:rsidR="00293055">
              <w:t>ten</w:t>
            </w:r>
            <w:r w:rsidRPr="00C233C7">
              <w:t xml:space="preserve"> (</w:t>
            </w:r>
            <w:r w:rsidR="00293055">
              <w:t>10</w:t>
            </w:r>
            <w:r w:rsidRPr="00C233C7">
              <w:t xml:space="preserve">) days of signing of the Contract and upon </w:t>
            </w:r>
            <w:r w:rsidRPr="00C233C7">
              <w:lastRenderedPageBreak/>
              <w:t xml:space="preserve">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4488CEB3"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0508DE">
              <w:t>Forty</w:t>
            </w:r>
            <w:r w:rsidRPr="00C233C7">
              <w:t xml:space="preserve"> (</w:t>
            </w:r>
            <w:r w:rsidR="000508DE">
              <w:t>40</w:t>
            </w:r>
            <w:r w:rsidRPr="00C233C7">
              <w:t>) percent of the Contract Price of the Goods shipped shall be paid, within 15 days after submission of documents specified in CC 7.</w:t>
            </w:r>
          </w:p>
          <w:p w14:paraId="61E2B884" w14:textId="6C2FA0CC"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proofErr w:type="gramStart"/>
            <w:r w:rsidR="000508DE">
              <w:t>Twenty Five</w:t>
            </w:r>
            <w:proofErr w:type="gramEnd"/>
            <w:r w:rsidRPr="00C233C7">
              <w:t xml:space="preserve"> (</w:t>
            </w:r>
            <w:r w:rsidR="000508DE">
              <w:t>25</w:t>
            </w:r>
            <w:r w:rsidRPr="00C233C7">
              <w:t>) percent of the Contract Price of Goods received shall be paid within fifteen (15) days of receipt of the Goods upon submission of claim supported by the acceptance certificate issued by the Purchaser.</w:t>
            </w:r>
          </w:p>
          <w:p w14:paraId="17458ECB" w14:textId="6F2B00FA" w:rsidR="00293055" w:rsidRDefault="00293055" w:rsidP="00293055">
            <w:pPr>
              <w:pStyle w:val="ListParagraph"/>
              <w:numPr>
                <w:ilvl w:val="3"/>
                <w:numId w:val="5"/>
              </w:numPr>
              <w:tabs>
                <w:tab w:val="clear" w:pos="1901"/>
              </w:tabs>
              <w:suppressAutoHyphens/>
              <w:spacing w:after="120"/>
              <w:ind w:left="1154" w:hanging="517"/>
              <w:contextualSpacing w:val="0"/>
              <w:jc w:val="both"/>
            </w:pPr>
            <w:r>
              <w:rPr>
                <w:b/>
              </w:rPr>
              <w:t xml:space="preserve">On completion of User Training: </w:t>
            </w:r>
            <w:r w:rsidR="000508DE">
              <w:t>Five</w:t>
            </w:r>
            <w:r w:rsidRPr="00C233C7">
              <w:t xml:space="preserve"> (</w:t>
            </w:r>
            <w:r w:rsidR="00BF342E">
              <w:t>5</w:t>
            </w:r>
            <w:r w:rsidRPr="00C233C7">
              <w:t xml:space="preserve">) percent of the Contract Price of Goods received shall be paid within fifteen (15) days of </w:t>
            </w:r>
            <w:r>
              <w:t>conducted User Training</w:t>
            </w:r>
            <w:r w:rsidRPr="00C233C7">
              <w:t xml:space="preserve">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4130BD16" w14:textId="4E4C1B98" w:rsidR="00E1320C" w:rsidRPr="00293055" w:rsidRDefault="000508DE" w:rsidP="00874AA4">
            <w:pPr>
              <w:pStyle w:val="Sub-ClauseText"/>
              <w:spacing w:before="0" w:after="200"/>
              <w:ind w:left="704"/>
              <w:rPr>
                <w:spacing w:val="0"/>
                <w:highlight w:val="yellow"/>
              </w:rPr>
            </w:pPr>
            <w:r>
              <w:rPr>
                <w:spacing w:val="0"/>
                <w:highlight w:val="yellow"/>
              </w:rPr>
              <w:t>N/A</w:t>
            </w:r>
          </w:p>
          <w:p w14:paraId="05D2BE93" w14:textId="58CB70E2" w:rsidR="00E1320C" w:rsidRPr="00293055" w:rsidRDefault="00E1320C" w:rsidP="00874AA4">
            <w:pPr>
              <w:tabs>
                <w:tab w:val="right" w:pos="7164"/>
              </w:tabs>
              <w:spacing w:after="120"/>
              <w:ind w:left="704"/>
              <w:jc w:val="both"/>
              <w:rPr>
                <w:highlight w:val="yellow"/>
              </w:rPr>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lastRenderedPageBreak/>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93055">
              <w:rPr>
                <w:i w:val="0"/>
                <w:highlight w:val="yellow"/>
              </w:rPr>
              <w:t>[</w:t>
            </w:r>
            <w:r w:rsidRPr="00293055">
              <w:rPr>
                <w:highlight w:val="yellow"/>
              </w:rPr>
              <w:t xml:space="preserve">insert the type of packing required, the markings in the packing and all documentation required; </w:t>
            </w:r>
            <w:r w:rsidRPr="00293055">
              <w:rPr>
                <w:b/>
                <w:highlight w:val="yellow"/>
              </w:rPr>
              <w:t>or refer to the Technical Specifications</w:t>
            </w:r>
            <w:r w:rsidRPr="00293055">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 xml:space="preserve">The Supplier is required under the Contract to transport the Goods to a specified place of </w:t>
            </w:r>
            <w:proofErr w:type="gramStart"/>
            <w:r w:rsidRPr="00C233C7">
              <w:t>final destination</w:t>
            </w:r>
            <w:proofErr w:type="gramEnd"/>
            <w:r w:rsidRPr="00C233C7">
              <w:t xml:space="preserve">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6B742CD8"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r w:rsidRPr="007A2EC2">
              <w:rPr>
                <w:highlight w:val="yellow"/>
              </w:rPr>
              <w:t xml:space="preserve"> [insert name(s) of location(s);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1E6BDF66" w14:textId="77777777" w:rsidR="000508DE" w:rsidRDefault="00E1320C" w:rsidP="000508DE">
            <w:pPr>
              <w:pStyle w:val="CoCHeading1"/>
              <w:numPr>
                <w:ilvl w:val="1"/>
                <w:numId w:val="33"/>
              </w:numPr>
              <w:ind w:left="691" w:hanging="720"/>
              <w:jc w:val="both"/>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6439F4A9" w:rsidR="00E1320C" w:rsidRPr="00C233C7" w:rsidRDefault="00E1320C" w:rsidP="000508DE">
            <w:pPr>
              <w:pStyle w:val="CoCHeading1"/>
              <w:numPr>
                <w:ilvl w:val="1"/>
                <w:numId w:val="33"/>
              </w:numPr>
              <w:ind w:left="691" w:hanging="720"/>
              <w:jc w:val="both"/>
            </w:pPr>
            <w:r w:rsidRPr="00237FCA">
              <w:rPr>
                <w:i w:val="0"/>
              </w:rPr>
              <w:lastRenderedPageBreak/>
              <w:t xml:space="preserve">The Completion Date of Related Services shall be: </w:t>
            </w:r>
            <w:r w:rsidR="007A2EC2" w:rsidRPr="007A2EC2">
              <w:rPr>
                <w:i w:val="0"/>
                <w:highlight w:val="yellow"/>
              </w:rPr>
              <w:t>Within ten (10) days from receipt of the goods</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7A2EC2">
              <w:rPr>
                <w:i w:val="0"/>
                <w:highlight w:val="yellow"/>
              </w:rPr>
              <w:t>insert number</w:t>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termination for default if and to the extent that its delay in performance or other </w:t>
            </w:r>
            <w:r w:rsidRPr="00237FCA">
              <w:rPr>
                <w:i w:val="0"/>
              </w:rPr>
              <w:lastRenderedPageBreak/>
              <w:t>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w:t>
            </w:r>
            <w:r w:rsidRPr="00C233C7">
              <w:lastRenderedPageBreak/>
              <w:t>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30"/>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2" w:name="_Toc73333194"/>
      <w:bookmarkStart w:id="33" w:name="_Toc436904427"/>
      <w:bookmarkStart w:id="34" w:name="_Toc475548395"/>
      <w:bookmarkStart w:id="35" w:name="_Toc503364219"/>
      <w:bookmarkStart w:id="36" w:name="_Toc428352208"/>
      <w:bookmarkStart w:id="37" w:name="_Toc438907199"/>
      <w:bookmarkStart w:id="38" w:name="_Toc438907299"/>
      <w:bookmarkStart w:id="39" w:name="_Toc471555886"/>
      <w:r w:rsidRPr="0004651B">
        <w:lastRenderedPageBreak/>
        <w:t>Advance Payment</w:t>
      </w:r>
      <w:bookmarkEnd w:id="32"/>
      <w:r w:rsidRPr="0004651B">
        <w:t xml:space="preserve"> Security</w:t>
      </w:r>
      <w:bookmarkEnd w:id="33"/>
      <w:bookmarkEnd w:id="34"/>
      <w:bookmarkEnd w:id="35"/>
      <w:r w:rsidRPr="0004651B">
        <w:t xml:space="preserve"> </w:t>
      </w:r>
      <w:bookmarkEnd w:id="36"/>
      <w:bookmarkEnd w:id="37"/>
      <w:bookmarkEnd w:id="38"/>
      <w:bookmarkEnd w:id="39"/>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196DE" w14:textId="77777777" w:rsidR="003009AF" w:rsidRDefault="003009AF" w:rsidP="0004651B">
      <w:pPr>
        <w:spacing w:after="0" w:line="240" w:lineRule="auto"/>
      </w:pPr>
      <w:r>
        <w:separator/>
      </w:r>
    </w:p>
  </w:endnote>
  <w:endnote w:type="continuationSeparator" w:id="0">
    <w:p w14:paraId="6CD7BBAB" w14:textId="77777777" w:rsidR="003009AF" w:rsidRDefault="003009AF"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3F994" w14:textId="77777777" w:rsidR="003009AF" w:rsidRDefault="003009AF" w:rsidP="0004651B">
      <w:pPr>
        <w:spacing w:after="0" w:line="240" w:lineRule="auto"/>
      </w:pPr>
      <w:r>
        <w:separator/>
      </w:r>
    </w:p>
  </w:footnote>
  <w:footnote w:type="continuationSeparator" w:id="0">
    <w:p w14:paraId="5CC45F7B" w14:textId="77777777" w:rsidR="003009AF" w:rsidRDefault="003009AF" w:rsidP="0004651B">
      <w:pPr>
        <w:spacing w:after="0" w:line="240" w:lineRule="auto"/>
      </w:pPr>
      <w:r>
        <w:continuationSeparator/>
      </w:r>
    </w:p>
  </w:footnote>
  <w:footnote w:id="1">
    <w:p w14:paraId="5E63EFDA" w14:textId="77777777" w:rsidR="007C4AF4" w:rsidRPr="00F23660" w:rsidRDefault="007C4AF4"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7C4AF4" w:rsidRDefault="007C4AF4"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7C4AF4" w:rsidRDefault="007C4AF4"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7C4AF4" w:rsidRPr="00BC09A2" w:rsidRDefault="007C4AF4"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7C4AF4" w:rsidRDefault="007C4AF4"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7C4AF4" w:rsidRDefault="007C4A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7C4AF4" w:rsidRDefault="007C4AF4"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7C4AF4" w:rsidRDefault="007C4AF4">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77777777" w:rsidR="007C4AF4" w:rsidRPr="0058677D" w:rsidRDefault="007C4AF4"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7777777" w:rsidR="007C4AF4" w:rsidRDefault="007C4AF4"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7C4AF4" w:rsidRDefault="007C4AF4"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7C4AF4" w:rsidRDefault="007C4AF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7C4AF4" w:rsidRDefault="007C4AF4"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34"/>
  </w:num>
  <w:num w:numId="3">
    <w:abstractNumId w:val="2"/>
  </w:num>
  <w:num w:numId="4">
    <w:abstractNumId w:val="9"/>
  </w:num>
  <w:num w:numId="5">
    <w:abstractNumId w:val="31"/>
  </w:num>
  <w:num w:numId="6">
    <w:abstractNumId w:val="36"/>
  </w:num>
  <w:num w:numId="7">
    <w:abstractNumId w:val="35"/>
  </w:num>
  <w:num w:numId="8">
    <w:abstractNumId w:val="19"/>
  </w:num>
  <w:num w:numId="9">
    <w:abstractNumId w:val="40"/>
  </w:num>
  <w:num w:numId="10">
    <w:abstractNumId w:val="46"/>
  </w:num>
  <w:num w:numId="11">
    <w:abstractNumId w:val="10"/>
  </w:num>
  <w:num w:numId="12">
    <w:abstractNumId w:val="37"/>
  </w:num>
  <w:num w:numId="13">
    <w:abstractNumId w:val="12"/>
  </w:num>
  <w:num w:numId="14">
    <w:abstractNumId w:val="5"/>
  </w:num>
  <w:num w:numId="15">
    <w:abstractNumId w:val="26"/>
  </w:num>
  <w:num w:numId="16">
    <w:abstractNumId w:val="6"/>
  </w:num>
  <w:num w:numId="17">
    <w:abstractNumId w:val="27"/>
  </w:num>
  <w:num w:numId="18">
    <w:abstractNumId w:val="8"/>
  </w:num>
  <w:num w:numId="19">
    <w:abstractNumId w:val="0"/>
  </w:num>
  <w:num w:numId="20">
    <w:abstractNumId w:val="44"/>
  </w:num>
  <w:num w:numId="21">
    <w:abstractNumId w:val="20"/>
  </w:num>
  <w:num w:numId="22">
    <w:abstractNumId w:val="4"/>
  </w:num>
  <w:num w:numId="23">
    <w:abstractNumId w:val="45"/>
  </w:num>
  <w:num w:numId="24">
    <w:abstractNumId w:val="29"/>
  </w:num>
  <w:num w:numId="25">
    <w:abstractNumId w:val="14"/>
  </w:num>
  <w:num w:numId="26">
    <w:abstractNumId w:val="42"/>
  </w:num>
  <w:num w:numId="27">
    <w:abstractNumId w:val="13"/>
  </w:num>
  <w:num w:numId="28">
    <w:abstractNumId w:val="39"/>
  </w:num>
  <w:num w:numId="29">
    <w:abstractNumId w:val="25"/>
  </w:num>
  <w:num w:numId="30">
    <w:abstractNumId w:val="1"/>
  </w:num>
  <w:num w:numId="31">
    <w:abstractNumId w:val="33"/>
  </w:num>
  <w:num w:numId="32">
    <w:abstractNumId w:val="15"/>
  </w:num>
  <w:num w:numId="33">
    <w:abstractNumId w:val="43"/>
  </w:num>
  <w:num w:numId="34">
    <w:abstractNumId w:val="18"/>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0"/>
  </w:num>
  <w:num w:numId="41">
    <w:abstractNumId w:val="21"/>
  </w:num>
  <w:num w:numId="42">
    <w:abstractNumId w:val="7"/>
  </w:num>
  <w:num w:numId="43">
    <w:abstractNumId w:val="3"/>
  </w:num>
  <w:num w:numId="44">
    <w:abstractNumId w:val="32"/>
  </w:num>
  <w:num w:numId="45">
    <w:abstractNumId w:val="16"/>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5C99"/>
    <w:rsid w:val="000153FB"/>
    <w:rsid w:val="000164BD"/>
    <w:rsid w:val="00035B6B"/>
    <w:rsid w:val="00036597"/>
    <w:rsid w:val="0004651B"/>
    <w:rsid w:val="000508DE"/>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E5BC7"/>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A3037"/>
    <w:rsid w:val="001B2661"/>
    <w:rsid w:val="001B43FB"/>
    <w:rsid w:val="001B7A27"/>
    <w:rsid w:val="001D4126"/>
    <w:rsid w:val="001E419A"/>
    <w:rsid w:val="002014BE"/>
    <w:rsid w:val="002075F5"/>
    <w:rsid w:val="00230474"/>
    <w:rsid w:val="00237FCA"/>
    <w:rsid w:val="002455E7"/>
    <w:rsid w:val="00251132"/>
    <w:rsid w:val="00293055"/>
    <w:rsid w:val="00294525"/>
    <w:rsid w:val="002B1B3E"/>
    <w:rsid w:val="002D07C3"/>
    <w:rsid w:val="002D36A5"/>
    <w:rsid w:val="003009AF"/>
    <w:rsid w:val="00312EBF"/>
    <w:rsid w:val="003145E5"/>
    <w:rsid w:val="00322817"/>
    <w:rsid w:val="00336AB4"/>
    <w:rsid w:val="0034318A"/>
    <w:rsid w:val="00350B32"/>
    <w:rsid w:val="00371F3E"/>
    <w:rsid w:val="00375EB9"/>
    <w:rsid w:val="00387FEE"/>
    <w:rsid w:val="00391EF6"/>
    <w:rsid w:val="00392AB9"/>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102A3"/>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4AF4"/>
    <w:rsid w:val="007D4F44"/>
    <w:rsid w:val="007D52A0"/>
    <w:rsid w:val="007E34AA"/>
    <w:rsid w:val="008030CE"/>
    <w:rsid w:val="0083532D"/>
    <w:rsid w:val="00841604"/>
    <w:rsid w:val="00860746"/>
    <w:rsid w:val="0086187C"/>
    <w:rsid w:val="00863987"/>
    <w:rsid w:val="00864FA1"/>
    <w:rsid w:val="0086592C"/>
    <w:rsid w:val="00874AA4"/>
    <w:rsid w:val="00894041"/>
    <w:rsid w:val="008A307E"/>
    <w:rsid w:val="008A6A6B"/>
    <w:rsid w:val="008B0E0D"/>
    <w:rsid w:val="008B4B20"/>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F342E"/>
    <w:rsid w:val="00BF66E4"/>
    <w:rsid w:val="00C0026F"/>
    <w:rsid w:val="00C00F72"/>
    <w:rsid w:val="00C03BD0"/>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36083"/>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A39F9"/>
    <w:rsid w:val="00EB78BA"/>
    <w:rsid w:val="00ED1F31"/>
    <w:rsid w:val="00EF2D6A"/>
    <w:rsid w:val="00F020B4"/>
    <w:rsid w:val="00F03A92"/>
    <w:rsid w:val="00F1163D"/>
    <w:rsid w:val="00F11732"/>
    <w:rsid w:val="00F1559A"/>
    <w:rsid w:val="00F25C00"/>
    <w:rsid w:val="00F51F77"/>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E5344743-D4D3-43D2-BA5C-9608F3A4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7090</Words>
  <Characters>40418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4</cp:revision>
  <cp:lastPrinted>2020-03-20T15:10:00Z</cp:lastPrinted>
  <dcterms:created xsi:type="dcterms:W3CDTF">2020-05-09T12:49:00Z</dcterms:created>
  <dcterms:modified xsi:type="dcterms:W3CDTF">2020-05-09T17:53:00Z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